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1A" w:rsidRDefault="00884E1A" w:rsidP="00884E1A">
      <w:pPr>
        <w:rPr>
          <w:lang w:val="en-AU"/>
        </w:rPr>
      </w:pPr>
      <w:r>
        <w:rPr>
          <w:lang w:val="en-AU"/>
        </w:rPr>
        <w:t>The Farmanco Group</w:t>
      </w:r>
      <w:bookmarkStart w:id="0" w:name="_GoBack"/>
      <w:bookmarkEnd w:id="0"/>
      <w:r>
        <w:rPr>
          <w:lang w:val="en-AU"/>
        </w:rPr>
        <w:t xml:space="preserve"> are one of Australia’s largest Agricultural Management Consultancies. </w:t>
      </w:r>
    </w:p>
    <w:p w:rsidR="00884E1A" w:rsidRDefault="00884E1A" w:rsidP="00884E1A">
      <w:pPr>
        <w:rPr>
          <w:lang w:val="en-AU"/>
        </w:rPr>
      </w:pPr>
    </w:p>
    <w:p w:rsidR="00884E1A" w:rsidRDefault="00884E1A" w:rsidP="00884E1A">
      <w:pPr>
        <w:rPr>
          <w:lang w:val="en-AU"/>
        </w:rPr>
      </w:pPr>
      <w:r>
        <w:rPr>
          <w:lang w:val="en-AU"/>
        </w:rPr>
        <w:t xml:space="preserve">From humble beginnings at Dowerin, Western Australia over 40 years ago, our success has been built upon partnering with over 750 clients, and understanding their goals and objectives. </w:t>
      </w:r>
      <w:r w:rsidRPr="000C36C1">
        <w:rPr>
          <w:lang w:val="en-AU"/>
        </w:rPr>
        <w:t>We now have over 20 consultants and operate across 11 offices.</w:t>
      </w:r>
    </w:p>
    <w:p w:rsidR="00884E1A" w:rsidRDefault="00884E1A" w:rsidP="00884E1A">
      <w:pPr>
        <w:rPr>
          <w:lang w:val="en-AU"/>
        </w:rPr>
      </w:pPr>
    </w:p>
    <w:p w:rsidR="00884E1A" w:rsidRDefault="00884E1A" w:rsidP="00884E1A">
      <w:pPr>
        <w:rPr>
          <w:lang w:val="en-AU"/>
        </w:rPr>
      </w:pPr>
      <w:r>
        <w:rPr>
          <w:lang w:val="en-AU"/>
        </w:rPr>
        <w:t xml:space="preserve">Our Consultants provide Farm Management, Agronomy and Grain Marketing Services, as well as the latest in research and new technologies and specialist services, such as: Precision Agronomy, </w:t>
      </w:r>
      <w:proofErr w:type="spellStart"/>
      <w:r>
        <w:rPr>
          <w:lang w:val="en-AU"/>
        </w:rPr>
        <w:t>Boomspray</w:t>
      </w:r>
      <w:proofErr w:type="spellEnd"/>
      <w:r>
        <w:rPr>
          <w:lang w:val="en-AU"/>
        </w:rPr>
        <w:t xml:space="preserve"> Application and Irrigation Services.</w:t>
      </w:r>
    </w:p>
    <w:p w:rsidR="00884E1A" w:rsidRDefault="00884E1A" w:rsidP="00884E1A">
      <w:pPr>
        <w:rPr>
          <w:lang w:val="en-AU"/>
        </w:rPr>
      </w:pPr>
    </w:p>
    <w:p w:rsidR="00884E1A" w:rsidRDefault="00884E1A" w:rsidP="00884E1A">
      <w:pPr>
        <w:rPr>
          <w:lang w:val="en-AU"/>
        </w:rPr>
      </w:pPr>
      <w:r>
        <w:rPr>
          <w:lang w:val="en-AU"/>
        </w:rPr>
        <w:t xml:space="preserve">We develop industry-leading products including the </w:t>
      </w:r>
      <w:proofErr w:type="spellStart"/>
      <w:r w:rsidRPr="00265B43">
        <w:rPr>
          <w:i/>
          <w:lang w:val="en-AU"/>
        </w:rPr>
        <w:t>Pestbook</w:t>
      </w:r>
      <w:proofErr w:type="spellEnd"/>
      <w:r>
        <w:rPr>
          <w:lang w:val="en-AU"/>
        </w:rPr>
        <w:t xml:space="preserve"> (a one-stop decision aid for Crop Protection), the </w:t>
      </w:r>
      <w:r w:rsidRPr="00265B43">
        <w:rPr>
          <w:i/>
          <w:lang w:val="en-AU"/>
        </w:rPr>
        <w:t>Profit Series</w:t>
      </w:r>
      <w:r>
        <w:rPr>
          <w:lang w:val="en-AU"/>
        </w:rPr>
        <w:t xml:space="preserve"> (farmers benchmarking their performance in the industry), our </w:t>
      </w:r>
      <w:r w:rsidRPr="00265B43">
        <w:rPr>
          <w:i/>
          <w:lang w:val="en-AU"/>
        </w:rPr>
        <w:t>Project Series</w:t>
      </w:r>
      <w:r>
        <w:rPr>
          <w:lang w:val="en-AU"/>
        </w:rPr>
        <w:t xml:space="preserve"> (in-depth reports, analysing important farming topics) as well as monthly </w:t>
      </w:r>
      <w:r w:rsidRPr="00006FAC">
        <w:rPr>
          <w:i/>
          <w:lang w:val="en-AU"/>
        </w:rPr>
        <w:t>Newsletters</w:t>
      </w:r>
      <w:r>
        <w:rPr>
          <w:lang w:val="en-AU"/>
        </w:rPr>
        <w:t xml:space="preserve"> and </w:t>
      </w:r>
      <w:r w:rsidRPr="00006FAC">
        <w:rPr>
          <w:i/>
          <w:lang w:val="en-AU"/>
        </w:rPr>
        <w:t>Podcasts</w:t>
      </w:r>
      <w:r>
        <w:rPr>
          <w:lang w:val="en-AU"/>
        </w:rPr>
        <w:t>.</w:t>
      </w:r>
    </w:p>
    <w:p w:rsidR="00884E1A" w:rsidRDefault="00884E1A" w:rsidP="00884E1A">
      <w:pPr>
        <w:rPr>
          <w:lang w:val="en-AU"/>
        </w:rPr>
      </w:pPr>
    </w:p>
    <w:p w:rsidR="00884E1A" w:rsidRDefault="00884E1A" w:rsidP="00884E1A">
      <w:pPr>
        <w:rPr>
          <w:lang w:val="en-AU"/>
        </w:rPr>
      </w:pPr>
      <w:r>
        <w:rPr>
          <w:lang w:val="en-AU"/>
        </w:rPr>
        <w:t>Our team provides sustainable, independent and profitable advice to our clients.</w:t>
      </w:r>
    </w:p>
    <w:p w:rsidR="00884E1A" w:rsidRDefault="00884E1A" w:rsidP="00884E1A">
      <w:pPr>
        <w:rPr>
          <w:lang w:val="en-AU"/>
        </w:rPr>
      </w:pPr>
    </w:p>
    <w:p w:rsidR="00884E1A" w:rsidRDefault="00884E1A" w:rsidP="00884E1A">
      <w:pPr>
        <w:rPr>
          <w:lang w:val="en-AU"/>
        </w:rPr>
      </w:pPr>
      <w:r>
        <w:rPr>
          <w:lang w:val="en-AU"/>
        </w:rPr>
        <w:t xml:space="preserve">We offer </w:t>
      </w:r>
      <w:r w:rsidRPr="000C36C1">
        <w:rPr>
          <w:i/>
          <w:lang w:val="en-AU"/>
        </w:rPr>
        <w:t>‘the competitive advantage in agriculture’</w:t>
      </w:r>
      <w:r>
        <w:rPr>
          <w:lang w:val="en-AU"/>
        </w:rPr>
        <w:t xml:space="preserve">. </w:t>
      </w:r>
    </w:p>
    <w:p w:rsidR="00884E1A" w:rsidRDefault="00884E1A" w:rsidP="00884E1A">
      <w:pPr>
        <w:rPr>
          <w:lang w:val="en-AU"/>
        </w:rPr>
      </w:pPr>
    </w:p>
    <w:p w:rsidR="003D7469" w:rsidRPr="00884E1A" w:rsidRDefault="003D7469">
      <w:pPr>
        <w:rPr>
          <w:lang w:val="en-AU"/>
        </w:rPr>
      </w:pPr>
    </w:p>
    <w:sectPr w:rsidR="003D7469" w:rsidRPr="00884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36BBF"/>
    <w:multiLevelType w:val="multilevel"/>
    <w:tmpl w:val="890AC380"/>
    <w:lvl w:ilvl="0">
      <w:start w:val="1"/>
      <w:numFmt w:val="decimal"/>
      <w:pStyle w:val="PolicyMainHeading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1A"/>
    <w:rsid w:val="00163B49"/>
    <w:rsid w:val="003D7469"/>
    <w:rsid w:val="00515F50"/>
    <w:rsid w:val="006D63A7"/>
    <w:rsid w:val="00884E1A"/>
    <w:rsid w:val="00911CDF"/>
    <w:rsid w:val="009375F4"/>
    <w:rsid w:val="00E4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986A"/>
  <w15:chartTrackingRefBased/>
  <w15:docId w15:val="{EBC8F513-DA30-4700-AFA0-89AC2BF0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4E1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color w:val="000000" w:themeColor="text1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MainHeading">
    <w:name w:val="Policy Main Heading"/>
    <w:autoRedefine/>
    <w:qFormat/>
    <w:rsid w:val="003D7469"/>
    <w:pPr>
      <w:numPr>
        <w:numId w:val="1"/>
      </w:numPr>
      <w:spacing w:before="120" w:after="120" w:line="240" w:lineRule="auto"/>
    </w:pPr>
    <w:rPr>
      <w:rFonts w:ascii="Arial" w:eastAsiaTheme="majorEastAsia" w:hAnsi="Arial" w:cstheme="majorBidi"/>
      <w:color w:val="BF8F00" w:themeColor="accent4" w:themeShade="BF"/>
      <w:spacing w:val="5"/>
      <w:kern w:val="28"/>
      <w:sz w:val="3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Symondson</dc:creator>
  <cp:keywords/>
  <dc:description/>
  <cp:lastModifiedBy>Keith Symondson</cp:lastModifiedBy>
  <cp:revision>1</cp:revision>
  <dcterms:created xsi:type="dcterms:W3CDTF">2016-12-14T00:25:00Z</dcterms:created>
  <dcterms:modified xsi:type="dcterms:W3CDTF">2016-12-14T00:26:00Z</dcterms:modified>
</cp:coreProperties>
</file>